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BC" w:rsidRDefault="00975DBC" w:rsidP="00975DBC">
      <w:pPr>
        <w:ind w:firstLine="0"/>
        <w:jc w:val="center"/>
        <w:rPr>
          <w:b/>
          <w:bCs/>
          <w:sz w:val="22"/>
        </w:rPr>
      </w:pPr>
      <w:r w:rsidRPr="00975DBC">
        <w:rPr>
          <w:b/>
          <w:bCs/>
          <w:sz w:val="22"/>
        </w:rPr>
        <w:t>СОЮЗ «ИРКУТСКОЕ ОБЛАСТНОЕ ОБЪЕДИНЕНИЕ ОРГАНИЗАЦИЙ ПРОФСОЮЗОВ»</w:t>
      </w:r>
    </w:p>
    <w:p w:rsidR="00975DBC" w:rsidRPr="00975DBC" w:rsidRDefault="00975DBC" w:rsidP="00975DBC">
      <w:pPr>
        <w:ind w:firstLine="0"/>
        <w:jc w:val="center"/>
        <w:rPr>
          <w:b/>
          <w:bCs/>
          <w:szCs w:val="26"/>
        </w:rPr>
      </w:pPr>
    </w:p>
    <w:p w:rsidR="00975DBC" w:rsidRPr="00371EB7" w:rsidRDefault="00975DBC" w:rsidP="00975DBC">
      <w:pPr>
        <w:ind w:firstLine="0"/>
        <w:jc w:val="center"/>
        <w:rPr>
          <w:b/>
          <w:bCs/>
          <w:szCs w:val="26"/>
        </w:rPr>
      </w:pPr>
      <w:r w:rsidRPr="00371EB7">
        <w:rPr>
          <w:b/>
          <w:bCs/>
          <w:szCs w:val="26"/>
        </w:rPr>
        <w:t>СОВЕТ</w:t>
      </w:r>
    </w:p>
    <w:p w:rsidR="00975DBC" w:rsidRPr="00371EB7" w:rsidRDefault="00975DBC" w:rsidP="00975DBC">
      <w:pPr>
        <w:ind w:firstLine="0"/>
        <w:jc w:val="center"/>
        <w:rPr>
          <w:b/>
          <w:bCs/>
          <w:szCs w:val="26"/>
        </w:rPr>
      </w:pPr>
    </w:p>
    <w:p w:rsidR="00975DBC" w:rsidRDefault="00975DBC" w:rsidP="00975DBC">
      <w:pPr>
        <w:ind w:firstLine="0"/>
        <w:jc w:val="center"/>
        <w:rPr>
          <w:b/>
          <w:bCs/>
          <w:szCs w:val="26"/>
        </w:rPr>
      </w:pPr>
      <w:r w:rsidRPr="00371EB7">
        <w:rPr>
          <w:b/>
          <w:bCs/>
          <w:szCs w:val="26"/>
        </w:rPr>
        <w:t>ПОСТАНОВЛЕНИЕ</w:t>
      </w:r>
    </w:p>
    <w:p w:rsidR="00975DBC" w:rsidRDefault="00975DBC" w:rsidP="00975DBC">
      <w:pPr>
        <w:ind w:firstLine="0"/>
        <w:jc w:val="center"/>
        <w:rPr>
          <w:b/>
          <w:b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61"/>
        <w:gridCol w:w="3347"/>
      </w:tblGrid>
      <w:tr w:rsidR="00975DBC" w:rsidRPr="00975DBC" w:rsidTr="00975DBC">
        <w:tc>
          <w:tcPr>
            <w:tcW w:w="3415" w:type="dxa"/>
          </w:tcPr>
          <w:p w:rsidR="00975DBC" w:rsidRPr="00975DBC" w:rsidRDefault="00975DBC" w:rsidP="001B332F">
            <w:pPr>
              <w:ind w:firstLine="0"/>
              <w:rPr>
                <w:szCs w:val="26"/>
              </w:rPr>
            </w:pPr>
            <w:r w:rsidRPr="00975DBC">
              <w:rPr>
                <w:szCs w:val="26"/>
              </w:rPr>
              <w:t>«</w:t>
            </w:r>
            <w:r w:rsidR="001B332F">
              <w:rPr>
                <w:szCs w:val="26"/>
                <w:lang w:val="en-US"/>
              </w:rPr>
              <w:t xml:space="preserve"> 21 </w:t>
            </w:r>
            <w:r w:rsidRPr="00975DBC">
              <w:rPr>
                <w:szCs w:val="26"/>
              </w:rPr>
              <w:t xml:space="preserve">» апреля 2023 </w:t>
            </w:r>
            <w:r>
              <w:rPr>
                <w:szCs w:val="26"/>
              </w:rPr>
              <w:t>г</w:t>
            </w:r>
            <w:r w:rsidRPr="00975DBC">
              <w:rPr>
                <w:szCs w:val="26"/>
              </w:rPr>
              <w:t>.</w:t>
            </w:r>
          </w:p>
        </w:tc>
        <w:tc>
          <w:tcPr>
            <w:tcW w:w="3415" w:type="dxa"/>
          </w:tcPr>
          <w:p w:rsidR="00975DBC" w:rsidRPr="00975DBC" w:rsidRDefault="002504EA" w:rsidP="002504E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B332F">
              <w:rPr>
                <w:szCs w:val="26"/>
              </w:rPr>
              <w:t xml:space="preserve">             </w:t>
            </w:r>
            <w:r>
              <w:rPr>
                <w:szCs w:val="26"/>
              </w:rPr>
              <w:t xml:space="preserve"> </w:t>
            </w:r>
            <w:r w:rsidR="00975DBC">
              <w:rPr>
                <w:szCs w:val="26"/>
              </w:rPr>
              <w:t>г. Иркутск</w:t>
            </w:r>
          </w:p>
        </w:tc>
        <w:tc>
          <w:tcPr>
            <w:tcW w:w="3415" w:type="dxa"/>
          </w:tcPr>
          <w:p w:rsidR="00975DBC" w:rsidRPr="001B332F" w:rsidRDefault="00975DBC" w:rsidP="001B332F">
            <w:pPr>
              <w:ind w:firstLine="0"/>
              <w:jc w:val="right"/>
              <w:rPr>
                <w:szCs w:val="26"/>
                <w:lang w:val="en-US"/>
              </w:rPr>
            </w:pPr>
            <w:r>
              <w:rPr>
                <w:szCs w:val="26"/>
              </w:rPr>
              <w:t xml:space="preserve">№ </w:t>
            </w:r>
            <w:r w:rsidR="001B332F">
              <w:rPr>
                <w:szCs w:val="26"/>
                <w:lang w:val="en-US"/>
              </w:rPr>
              <w:t>IX-4</w:t>
            </w:r>
          </w:p>
        </w:tc>
      </w:tr>
    </w:tbl>
    <w:p w:rsidR="002E0C25" w:rsidRDefault="002E0C25" w:rsidP="00975DBC">
      <w:pPr>
        <w:ind w:firstLine="0"/>
        <w:jc w:val="both"/>
        <w:rPr>
          <w:szCs w:val="26"/>
        </w:rPr>
      </w:pPr>
    </w:p>
    <w:p w:rsidR="00975DBC" w:rsidRDefault="00D01BF9" w:rsidP="002504EA">
      <w:pPr>
        <w:ind w:right="5152" w:firstLine="0"/>
        <w:jc w:val="both"/>
        <w:rPr>
          <w:szCs w:val="26"/>
        </w:rPr>
      </w:pPr>
      <w:r>
        <w:rPr>
          <w:szCs w:val="26"/>
        </w:rPr>
        <w:t>О совершенствовании и развитии с</w:t>
      </w:r>
      <w:r w:rsidR="00975DBC" w:rsidRPr="00975DBC">
        <w:rPr>
          <w:szCs w:val="26"/>
        </w:rPr>
        <w:t>оциально</w:t>
      </w:r>
      <w:r>
        <w:rPr>
          <w:szCs w:val="26"/>
        </w:rPr>
        <w:t>го</w:t>
      </w:r>
      <w:r w:rsidR="00975DBC" w:rsidRPr="00975DBC">
        <w:rPr>
          <w:szCs w:val="26"/>
        </w:rPr>
        <w:t xml:space="preserve"> партнерств</w:t>
      </w:r>
      <w:r>
        <w:rPr>
          <w:szCs w:val="26"/>
        </w:rPr>
        <w:t>а</w:t>
      </w:r>
      <w:r w:rsidR="00975DBC" w:rsidRPr="00975DBC">
        <w:rPr>
          <w:szCs w:val="26"/>
        </w:rPr>
        <w:t xml:space="preserve"> в социально-трудовых </w:t>
      </w:r>
      <w:r w:rsidR="005F37DA" w:rsidRPr="00975DBC">
        <w:rPr>
          <w:szCs w:val="26"/>
        </w:rPr>
        <w:t xml:space="preserve">отношениях </w:t>
      </w:r>
      <w:r w:rsidR="005F37DA">
        <w:rPr>
          <w:szCs w:val="26"/>
        </w:rPr>
        <w:t>в</w:t>
      </w:r>
      <w:r w:rsidR="00975DBC" w:rsidRPr="00975DBC">
        <w:rPr>
          <w:szCs w:val="26"/>
        </w:rPr>
        <w:t xml:space="preserve"> Иркутской области</w:t>
      </w:r>
    </w:p>
    <w:p w:rsidR="00975DBC" w:rsidRDefault="00975DBC" w:rsidP="00975DBC">
      <w:pPr>
        <w:ind w:firstLine="0"/>
        <w:jc w:val="both"/>
        <w:rPr>
          <w:szCs w:val="26"/>
        </w:rPr>
      </w:pPr>
    </w:p>
    <w:p w:rsidR="00975DBC" w:rsidRDefault="00975DBC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</w:r>
      <w:r w:rsidR="00344ED5">
        <w:rPr>
          <w:szCs w:val="26"/>
        </w:rPr>
        <w:t>Обсудив с представителями органов государственной власти и регионального объединения работодателей вопрос о социальном партнерстве в сфере оплаты и охраны труда в Иркутской области Совет отмечает следующее.</w:t>
      </w:r>
    </w:p>
    <w:p w:rsidR="00344ED5" w:rsidRDefault="00344ED5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В 2022 году Правительством Иркутской области были реализованы поддержанные профсоюзами меры по стабилизации и развитию экономики региона в условиях санкций со стороны недружественных государств.</w:t>
      </w:r>
    </w:p>
    <w:p w:rsidR="00344ED5" w:rsidRDefault="00344ED5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 xml:space="preserve">Была произведена индексация заработной платы работников бюджетной сферы и социальных пособий, выплачиваемых регионом семьям и </w:t>
      </w:r>
      <w:r w:rsidR="00E862EC">
        <w:rPr>
          <w:szCs w:val="26"/>
        </w:rPr>
        <w:t xml:space="preserve">отдельным категориям </w:t>
      </w:r>
      <w:r>
        <w:rPr>
          <w:szCs w:val="26"/>
        </w:rPr>
        <w:t xml:space="preserve">граждан. </w:t>
      </w:r>
    </w:p>
    <w:p w:rsidR="00E862EC" w:rsidRDefault="00E862EC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В 2022 году обеспечена выплата заработной платы не ниже минимального размера оплаты труда (МРОТ) в условиях двухразового его увеличения (январь, июль).</w:t>
      </w:r>
    </w:p>
    <w:p w:rsidR="00F20D7D" w:rsidRDefault="0018610A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Вместе с тем</w:t>
      </w:r>
      <w:r w:rsidR="00F20D7D">
        <w:rPr>
          <w:szCs w:val="26"/>
        </w:rPr>
        <w:t xml:space="preserve"> одновременно с повышением МРОТ снижается дифференциация в размерах заработной платы работников различной квалификации. </w:t>
      </w:r>
    </w:p>
    <w:p w:rsidR="001F60DB" w:rsidRDefault="00F20D7D" w:rsidP="00C428F7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Т</w:t>
      </w:r>
      <w:r w:rsidR="001F60DB">
        <w:rPr>
          <w:szCs w:val="26"/>
        </w:rPr>
        <w:t xml:space="preserve">емпы роста реальной заработной платы значительно ниже роста номинальной заработной платы (номинальная/реальная в % по годам: 2020 г. – 107,5/103,5; 2021 г. – 110,7/103,4; 2022 г. – 115,2/100,4). </w:t>
      </w:r>
      <w:r>
        <w:rPr>
          <w:szCs w:val="26"/>
        </w:rPr>
        <w:t>Как следствие, внутренний потребительский спрос</w:t>
      </w:r>
      <w:r w:rsidR="00EE3126">
        <w:rPr>
          <w:szCs w:val="26"/>
        </w:rPr>
        <w:t xml:space="preserve"> на товары и услуги</w:t>
      </w:r>
      <w:r>
        <w:rPr>
          <w:szCs w:val="26"/>
        </w:rPr>
        <w:t xml:space="preserve"> </w:t>
      </w:r>
      <w:r w:rsidR="00EE3126">
        <w:rPr>
          <w:szCs w:val="26"/>
        </w:rPr>
        <w:t>снижается.</w:t>
      </w:r>
    </w:p>
    <w:p w:rsidR="00327B36" w:rsidRDefault="001F60DB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 xml:space="preserve">Номинальная заработная плата как в бюджетном секторе, так во внебюджетном секторе, растет за счет практики совмещения, совместительства, </w:t>
      </w:r>
      <w:r w:rsidR="00F20D7D">
        <w:rPr>
          <w:szCs w:val="26"/>
        </w:rPr>
        <w:t>сверхурочной</w:t>
      </w:r>
      <w:r>
        <w:rPr>
          <w:szCs w:val="26"/>
        </w:rPr>
        <w:t xml:space="preserve"> работы и работы в выходные дни. </w:t>
      </w:r>
    </w:p>
    <w:p w:rsidR="00327B36" w:rsidRDefault="00327B36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Нерешённые на федеральном уровне проблемы в сфере оплаты труда приводят к ухудшению положения работников</w:t>
      </w:r>
      <w:r w:rsidR="0076534E">
        <w:rPr>
          <w:szCs w:val="26"/>
        </w:rPr>
        <w:t xml:space="preserve"> в регионе.</w:t>
      </w:r>
    </w:p>
    <w:p w:rsidR="0076534E" w:rsidRDefault="00327B36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Так, до сих пор не реализовано постановление Конституционного Суда Российской Федерации от 7 декабря 2017 года № 38-П, согласно которому</w:t>
      </w:r>
      <w:r w:rsidR="0076534E">
        <w:rPr>
          <w:szCs w:val="26"/>
        </w:rPr>
        <w:t xml:space="preserve"> федеральный законодатель правомочен при совершенствовании законодательства об оплате труда установить тарифную ставку первого разряда (оклад) не ниже МРОТ. </w:t>
      </w:r>
    </w:p>
    <w:p w:rsidR="0076534E" w:rsidRDefault="0076534E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Принимаются попытки отмены районных коэффициентов и процентных надбавок к заработной плате, установленных нормативными актами субъектов Российской Федерации, в том числе принятыми в Иркутской области.</w:t>
      </w:r>
    </w:p>
    <w:p w:rsidR="00B644C6" w:rsidRDefault="00B644C6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</w:r>
      <w:r w:rsidR="00BA26D5">
        <w:rPr>
          <w:szCs w:val="26"/>
        </w:rPr>
        <w:t>На протяжении последних лет, п</w:t>
      </w:r>
      <w:r>
        <w:rPr>
          <w:szCs w:val="26"/>
        </w:rPr>
        <w:t xml:space="preserve">о данным министерства труда и занятости Иркутской области </w:t>
      </w:r>
      <w:r w:rsidR="00E5087B">
        <w:rPr>
          <w:szCs w:val="26"/>
        </w:rPr>
        <w:t>о состоянии условий и охраны труда</w:t>
      </w:r>
      <w:r w:rsidR="00BA26D5">
        <w:rPr>
          <w:szCs w:val="26"/>
        </w:rPr>
        <w:t>,</w:t>
      </w:r>
      <w:r w:rsidR="00E5087B">
        <w:rPr>
          <w:szCs w:val="26"/>
        </w:rPr>
        <w:t xml:space="preserve"> </w:t>
      </w:r>
      <w:r>
        <w:rPr>
          <w:szCs w:val="26"/>
        </w:rPr>
        <w:t>в регионе установилась тенденция к снижению численности пострадавших на предприятиях, в том числе снижение количества тяжелых и смертельных несчастных случаев, уменьшение численности пострадавших в результате несчастных случаев на производстве со смертельным исходом.</w:t>
      </w:r>
      <w:bookmarkStart w:id="0" w:name="_GoBack"/>
      <w:bookmarkEnd w:id="0"/>
    </w:p>
    <w:p w:rsidR="00E5087B" w:rsidRDefault="00B644C6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Наиболее травмоопасными производствами считаются сельское и лесное хозяйства, обрабатывающее производство</w:t>
      </w:r>
      <w:r w:rsidR="00E5087B">
        <w:rPr>
          <w:szCs w:val="26"/>
        </w:rPr>
        <w:t>. На их долю приходится более половины всех несчастных случаев на производстве.</w:t>
      </w:r>
    </w:p>
    <w:p w:rsidR="00BA26D5" w:rsidRDefault="00E5087B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>В общей структуре несчастных случаев четверть происшествий связана с воздействием движущихся, разлетающихся, вращающихся предметов, деталей машин и механизмов. Еще столько же с падением работника с высоты</w:t>
      </w:r>
      <w:r w:rsidR="00BA26D5">
        <w:rPr>
          <w:szCs w:val="26"/>
        </w:rPr>
        <w:t xml:space="preserve">. Пятая часть несчастных случаев – транспортные происшествия. </w:t>
      </w:r>
    </w:p>
    <w:p w:rsidR="00BA26D5" w:rsidRDefault="00BA26D5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  <w:t xml:space="preserve">Среди причин несчастных случаев на производстве с тяжелыми последствиями ведущее место занимает неудовлетворительная организация производства работ </w:t>
      </w:r>
      <w:r w:rsidR="00C01809">
        <w:rPr>
          <w:szCs w:val="26"/>
        </w:rPr>
        <w:t>(</w:t>
      </w:r>
      <w:r>
        <w:rPr>
          <w:szCs w:val="26"/>
        </w:rPr>
        <w:t>более трети</w:t>
      </w:r>
      <w:r w:rsidR="00C01809">
        <w:rPr>
          <w:szCs w:val="26"/>
        </w:rPr>
        <w:t xml:space="preserve"> несчастных случаев).</w:t>
      </w:r>
    </w:p>
    <w:p w:rsidR="00C01809" w:rsidRDefault="00C01809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</w:r>
      <w:r w:rsidR="00121D54">
        <w:rPr>
          <w:szCs w:val="26"/>
        </w:rPr>
        <w:t>Д</w:t>
      </w:r>
      <w:r>
        <w:rPr>
          <w:szCs w:val="26"/>
        </w:rPr>
        <w:t xml:space="preserve">оля работников, занятых во вредных и (или) опасных условиях </w:t>
      </w:r>
      <w:r w:rsidR="00565D4D">
        <w:rPr>
          <w:szCs w:val="26"/>
        </w:rPr>
        <w:t>труда,</w:t>
      </w:r>
      <w:r w:rsidR="00121D54">
        <w:rPr>
          <w:szCs w:val="26"/>
        </w:rPr>
        <w:t xml:space="preserve"> остается стабильно высокой</w:t>
      </w:r>
      <w:r>
        <w:rPr>
          <w:szCs w:val="26"/>
        </w:rPr>
        <w:t xml:space="preserve"> </w:t>
      </w:r>
      <w:r w:rsidR="00565D4D">
        <w:rPr>
          <w:szCs w:val="26"/>
        </w:rPr>
        <w:t>на протяжении последних лет</w:t>
      </w:r>
      <w:r w:rsidR="00121D54">
        <w:rPr>
          <w:szCs w:val="26"/>
        </w:rPr>
        <w:t xml:space="preserve">. </w:t>
      </w:r>
      <w:r w:rsidR="00565D4D">
        <w:rPr>
          <w:szCs w:val="26"/>
        </w:rPr>
        <w:t xml:space="preserve"> </w:t>
      </w:r>
    </w:p>
    <w:p w:rsidR="00565D4D" w:rsidRDefault="00565D4D" w:rsidP="00C428F7">
      <w:pPr>
        <w:spacing w:line="240" w:lineRule="auto"/>
        <w:ind w:firstLine="0"/>
        <w:jc w:val="both"/>
        <w:rPr>
          <w:szCs w:val="26"/>
        </w:rPr>
      </w:pPr>
      <w:r>
        <w:rPr>
          <w:szCs w:val="26"/>
        </w:rPr>
        <w:tab/>
      </w:r>
      <w:r w:rsidRPr="00565D4D">
        <w:rPr>
          <w:szCs w:val="26"/>
        </w:rPr>
        <w:t>Большая часть из общего числа работников, занятых во вредных и (или)</w:t>
      </w:r>
      <w:r>
        <w:rPr>
          <w:szCs w:val="26"/>
        </w:rPr>
        <w:t xml:space="preserve"> </w:t>
      </w:r>
      <w:r w:rsidRPr="00565D4D">
        <w:rPr>
          <w:szCs w:val="26"/>
        </w:rPr>
        <w:t>опасных условиях труда, трудится</w:t>
      </w:r>
      <w:r>
        <w:rPr>
          <w:szCs w:val="26"/>
        </w:rPr>
        <w:t xml:space="preserve"> </w:t>
      </w:r>
      <w:r w:rsidRPr="00565D4D">
        <w:rPr>
          <w:szCs w:val="26"/>
        </w:rPr>
        <w:t>под воздействием тяжести трудового</w:t>
      </w:r>
      <w:r>
        <w:rPr>
          <w:szCs w:val="26"/>
        </w:rPr>
        <w:t xml:space="preserve"> </w:t>
      </w:r>
      <w:r w:rsidRPr="00565D4D">
        <w:rPr>
          <w:szCs w:val="26"/>
        </w:rPr>
        <w:t>процесса (29,8%); шума, ультразвука, инфразвука (26,4%); химического</w:t>
      </w:r>
      <w:r>
        <w:rPr>
          <w:szCs w:val="26"/>
        </w:rPr>
        <w:t xml:space="preserve"> </w:t>
      </w:r>
      <w:r w:rsidRPr="00565D4D">
        <w:rPr>
          <w:szCs w:val="26"/>
        </w:rPr>
        <w:t>фактора (11,7%); вибрации (10,0%)</w:t>
      </w:r>
      <w:r>
        <w:rPr>
          <w:szCs w:val="26"/>
        </w:rPr>
        <w:t xml:space="preserve">. </w:t>
      </w:r>
    </w:p>
    <w:p w:rsidR="00BA26D5" w:rsidRDefault="00D5440C" w:rsidP="00C428F7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С</w:t>
      </w:r>
      <w:r w:rsidR="00D92919">
        <w:rPr>
          <w:szCs w:val="26"/>
        </w:rPr>
        <w:t xml:space="preserve"> 2018 по 2021 год количество </w:t>
      </w:r>
      <w:r>
        <w:rPr>
          <w:szCs w:val="26"/>
        </w:rPr>
        <w:t xml:space="preserve">работников, занятых тяжелым физическим трудом, </w:t>
      </w:r>
      <w:r w:rsidR="00D92919">
        <w:rPr>
          <w:szCs w:val="26"/>
        </w:rPr>
        <w:t>увеличилось на 23% (виды деятельности: добыча полезных ископаемых, строительство, обеспечение электрической энергией, газом и паром).</w:t>
      </w:r>
    </w:p>
    <w:p w:rsidR="00D5440C" w:rsidRDefault="00D5440C" w:rsidP="00C428F7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>Показатель профессиональной заболеваемости (кол-во случаев на 10 тыс. работающих)</w:t>
      </w:r>
      <w:r w:rsidR="000C21E7">
        <w:rPr>
          <w:szCs w:val="26"/>
        </w:rPr>
        <w:t xml:space="preserve"> в регионе имеет тенденцию к росту (2017 г. – 1,91; 2021 – 2,37). Преобладают заболевания, связанные с воздействием физических факторов (более 76% в 2021 году), что свидетельствует о ненадлежащих условиях труда (конструктивные недостатки машин и оборудования, несовершенство технологических процессов</w:t>
      </w:r>
      <w:r w:rsidR="00782C72">
        <w:rPr>
          <w:szCs w:val="26"/>
        </w:rPr>
        <w:t>, применение средств индивидуальной защиты, диагностика профзаболеваний и качество проведения периодических медицинских осмотров</w:t>
      </w:r>
      <w:r w:rsidR="000C21E7">
        <w:rPr>
          <w:szCs w:val="26"/>
        </w:rPr>
        <w:t>)</w:t>
      </w:r>
      <w:r w:rsidR="00782C72">
        <w:rPr>
          <w:szCs w:val="26"/>
        </w:rPr>
        <w:t>.</w:t>
      </w:r>
    </w:p>
    <w:p w:rsidR="00A65018" w:rsidRDefault="00A65018" w:rsidP="00C428F7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 xml:space="preserve">Практика контрольно-надзорных органов показывает, что работодателями </w:t>
      </w:r>
      <w:r w:rsidRPr="00A65018">
        <w:rPr>
          <w:szCs w:val="26"/>
        </w:rPr>
        <w:t>зачастую не исполняются обязанности</w:t>
      </w:r>
      <w:r>
        <w:rPr>
          <w:szCs w:val="26"/>
        </w:rPr>
        <w:t xml:space="preserve"> </w:t>
      </w:r>
      <w:r w:rsidRPr="00A65018">
        <w:rPr>
          <w:szCs w:val="26"/>
        </w:rPr>
        <w:t>по контролю за функционированием</w:t>
      </w:r>
      <w:r>
        <w:rPr>
          <w:szCs w:val="26"/>
        </w:rPr>
        <w:t xml:space="preserve"> </w:t>
      </w:r>
      <w:r w:rsidRPr="00A65018">
        <w:rPr>
          <w:szCs w:val="26"/>
        </w:rPr>
        <w:t>в организации системы управления</w:t>
      </w:r>
      <w:r>
        <w:rPr>
          <w:szCs w:val="26"/>
        </w:rPr>
        <w:t xml:space="preserve"> </w:t>
      </w:r>
      <w:r w:rsidRPr="00A65018">
        <w:rPr>
          <w:szCs w:val="26"/>
        </w:rPr>
        <w:t>охраной труда, обеспечением работников средствами индивидуальной</w:t>
      </w:r>
      <w:r>
        <w:rPr>
          <w:szCs w:val="26"/>
        </w:rPr>
        <w:t xml:space="preserve"> </w:t>
      </w:r>
      <w:r w:rsidRPr="00A65018">
        <w:rPr>
          <w:szCs w:val="26"/>
        </w:rPr>
        <w:t>и коллективной защиты, обучением работников безопасным методам,</w:t>
      </w:r>
      <w:r>
        <w:rPr>
          <w:szCs w:val="26"/>
        </w:rPr>
        <w:t xml:space="preserve"> </w:t>
      </w:r>
      <w:r w:rsidRPr="00A65018">
        <w:rPr>
          <w:szCs w:val="26"/>
        </w:rPr>
        <w:t>приёмам труда и проверке их знаний,</w:t>
      </w:r>
      <w:r>
        <w:rPr>
          <w:szCs w:val="26"/>
        </w:rPr>
        <w:t xml:space="preserve"> </w:t>
      </w:r>
      <w:r w:rsidRPr="00A65018">
        <w:rPr>
          <w:szCs w:val="26"/>
        </w:rPr>
        <w:t>проведением СОУТ, организацией</w:t>
      </w:r>
      <w:r>
        <w:rPr>
          <w:szCs w:val="26"/>
        </w:rPr>
        <w:t xml:space="preserve"> </w:t>
      </w:r>
      <w:r w:rsidRPr="00A65018">
        <w:rPr>
          <w:szCs w:val="26"/>
        </w:rPr>
        <w:t>проведения медицинских осмотров</w:t>
      </w:r>
      <w:r>
        <w:rPr>
          <w:szCs w:val="26"/>
        </w:rPr>
        <w:t xml:space="preserve"> </w:t>
      </w:r>
      <w:r w:rsidRPr="00A65018">
        <w:rPr>
          <w:szCs w:val="26"/>
        </w:rPr>
        <w:t>работников, психиатрических освидетельствований, при расследовании</w:t>
      </w:r>
      <w:r>
        <w:rPr>
          <w:szCs w:val="26"/>
        </w:rPr>
        <w:t xml:space="preserve"> </w:t>
      </w:r>
      <w:r w:rsidRPr="00A65018">
        <w:rPr>
          <w:szCs w:val="26"/>
        </w:rPr>
        <w:t>несчастных случаев на производстве</w:t>
      </w:r>
      <w:r>
        <w:rPr>
          <w:szCs w:val="26"/>
        </w:rPr>
        <w:t>.</w:t>
      </w:r>
    </w:p>
    <w:p w:rsidR="00A65018" w:rsidRDefault="00A65018" w:rsidP="00C428F7">
      <w:pPr>
        <w:spacing w:line="240" w:lineRule="auto"/>
        <w:ind w:firstLine="708"/>
        <w:jc w:val="both"/>
        <w:rPr>
          <w:szCs w:val="26"/>
        </w:rPr>
      </w:pPr>
      <w:r w:rsidRPr="00A65018">
        <w:rPr>
          <w:szCs w:val="26"/>
        </w:rPr>
        <w:t>Нарушения законодательства допускаются работодателями при расследовании несчастных случаев. Распространёнными нарушениями являются</w:t>
      </w:r>
      <w:r>
        <w:rPr>
          <w:szCs w:val="26"/>
        </w:rPr>
        <w:t xml:space="preserve"> </w:t>
      </w:r>
      <w:r w:rsidRPr="00A65018">
        <w:rPr>
          <w:szCs w:val="26"/>
        </w:rPr>
        <w:t>несоблюдение порядка направления</w:t>
      </w:r>
      <w:r>
        <w:rPr>
          <w:szCs w:val="26"/>
        </w:rPr>
        <w:t xml:space="preserve"> </w:t>
      </w:r>
      <w:r w:rsidRPr="00A65018">
        <w:rPr>
          <w:szCs w:val="26"/>
        </w:rPr>
        <w:t>извещений и формирования комиссий, оформления и учёта материалов</w:t>
      </w:r>
      <w:r>
        <w:rPr>
          <w:szCs w:val="26"/>
        </w:rPr>
        <w:t xml:space="preserve"> </w:t>
      </w:r>
      <w:r w:rsidRPr="00A65018">
        <w:rPr>
          <w:szCs w:val="26"/>
        </w:rPr>
        <w:t>расследований.</w:t>
      </w:r>
    </w:p>
    <w:p w:rsidR="00402016" w:rsidRDefault="00402016" w:rsidP="00C428F7">
      <w:pPr>
        <w:spacing w:line="240" w:lineRule="auto"/>
        <w:ind w:firstLine="708"/>
        <w:jc w:val="both"/>
      </w:pPr>
      <w:r>
        <w:rPr>
          <w:szCs w:val="26"/>
        </w:rPr>
        <w:t xml:space="preserve">Профсоюзный контроль за условиями и охраной труда в перечне </w:t>
      </w:r>
      <w:r>
        <w:t>наиболее распространенных причин возникновения несчастных случаев на производстве выделяет неудовлетворительную организацию производства работ, несоответствие рабочих мест требованиям безопасности, отсутствие контроля со стороны должностных лиц за правильным применением работниками средств коллективной и индивидуальной защиты, нарушение работником трудовой и производственной дисциплины.</w:t>
      </w:r>
    </w:p>
    <w:p w:rsidR="00402016" w:rsidRDefault="00402016" w:rsidP="00C428F7">
      <w:pPr>
        <w:spacing w:line="240" w:lineRule="auto"/>
        <w:ind w:firstLine="708"/>
        <w:jc w:val="both"/>
        <w:rPr>
          <w:szCs w:val="26"/>
        </w:rPr>
      </w:pPr>
    </w:p>
    <w:p w:rsidR="00371EB7" w:rsidRDefault="001F60DB" w:rsidP="00975DBC">
      <w:pPr>
        <w:ind w:firstLine="0"/>
        <w:jc w:val="both"/>
        <w:rPr>
          <w:b/>
          <w:bCs/>
          <w:szCs w:val="26"/>
        </w:rPr>
      </w:pPr>
      <w:r>
        <w:rPr>
          <w:szCs w:val="26"/>
        </w:rPr>
        <w:t xml:space="preserve">  </w:t>
      </w:r>
      <w:r w:rsidR="00402016">
        <w:rPr>
          <w:szCs w:val="26"/>
        </w:rPr>
        <w:tab/>
      </w:r>
      <w:r w:rsidR="00402016">
        <w:rPr>
          <w:b/>
          <w:bCs/>
          <w:szCs w:val="26"/>
        </w:rPr>
        <w:t>Совет Иркутского Профобъединения постановляет:</w:t>
      </w:r>
    </w:p>
    <w:p w:rsidR="002504EA" w:rsidRDefault="002504EA" w:rsidP="00975DBC">
      <w:pPr>
        <w:ind w:firstLine="0"/>
        <w:jc w:val="both"/>
        <w:rPr>
          <w:b/>
          <w:bCs/>
          <w:szCs w:val="26"/>
        </w:rPr>
      </w:pPr>
    </w:p>
    <w:p w:rsidR="004E61F5" w:rsidRDefault="00750353" w:rsidP="00C428F7">
      <w:pPr>
        <w:pStyle w:val="a4"/>
        <w:numPr>
          <w:ilvl w:val="1"/>
          <w:numId w:val="3"/>
        </w:numPr>
        <w:spacing w:line="240" w:lineRule="auto"/>
        <w:ind w:left="0" w:firstLine="708"/>
        <w:rPr>
          <w:szCs w:val="26"/>
        </w:rPr>
      </w:pPr>
      <w:r w:rsidRPr="004E61F5">
        <w:rPr>
          <w:szCs w:val="26"/>
        </w:rPr>
        <w:t>В сфере оплаты труда и социальной политики</w:t>
      </w:r>
      <w:r w:rsidR="004E61F5" w:rsidRPr="004E61F5">
        <w:rPr>
          <w:szCs w:val="26"/>
        </w:rPr>
        <w:t xml:space="preserve"> </w:t>
      </w:r>
      <w:bookmarkStart w:id="1" w:name="_Hlk131960367"/>
      <w:r w:rsidR="004E61F5">
        <w:rPr>
          <w:szCs w:val="26"/>
        </w:rPr>
        <w:t>р</w:t>
      </w:r>
      <w:r w:rsidR="00371EB7" w:rsidRPr="004E61F5">
        <w:rPr>
          <w:szCs w:val="26"/>
        </w:rPr>
        <w:t xml:space="preserve">уководству Иркутского Профобъединения при проведении переговоров в рамках трехсторонней комиссии Иркутской области по регулированию социально-трудовых отношений </w:t>
      </w:r>
      <w:bookmarkEnd w:id="1"/>
      <w:r w:rsidR="00371EB7" w:rsidRPr="004E61F5">
        <w:rPr>
          <w:szCs w:val="26"/>
        </w:rPr>
        <w:t>добиваться</w:t>
      </w:r>
      <w:r w:rsidR="004E61F5">
        <w:rPr>
          <w:szCs w:val="26"/>
        </w:rPr>
        <w:t>:</w:t>
      </w:r>
    </w:p>
    <w:p w:rsidR="003521B2" w:rsidRDefault="003521B2" w:rsidP="003521B2">
      <w:pPr>
        <w:pStyle w:val="a4"/>
        <w:spacing w:line="240" w:lineRule="auto"/>
        <w:ind w:left="708" w:firstLine="0"/>
        <w:rPr>
          <w:szCs w:val="26"/>
        </w:rPr>
      </w:pPr>
    </w:p>
    <w:p w:rsidR="003521B2" w:rsidRDefault="003521B2" w:rsidP="003521B2">
      <w:pPr>
        <w:pStyle w:val="a4"/>
        <w:spacing w:line="240" w:lineRule="auto"/>
        <w:ind w:left="708" w:firstLine="0"/>
        <w:rPr>
          <w:szCs w:val="26"/>
        </w:rPr>
      </w:pPr>
    </w:p>
    <w:p w:rsidR="003521B2" w:rsidRDefault="003521B2" w:rsidP="003521B2">
      <w:pPr>
        <w:pStyle w:val="a4"/>
        <w:spacing w:line="240" w:lineRule="auto"/>
        <w:ind w:left="708" w:firstLine="0"/>
        <w:rPr>
          <w:szCs w:val="26"/>
        </w:rPr>
      </w:pPr>
    </w:p>
    <w:p w:rsidR="00722C70" w:rsidRPr="004E61F5" w:rsidRDefault="004E61F5" w:rsidP="00C428F7">
      <w:pPr>
        <w:pStyle w:val="a4"/>
        <w:spacing w:line="240" w:lineRule="auto"/>
        <w:ind w:left="0" w:firstLine="708"/>
        <w:rPr>
          <w:szCs w:val="26"/>
        </w:rPr>
      </w:pPr>
      <w:r>
        <w:rPr>
          <w:szCs w:val="26"/>
        </w:rPr>
        <w:t>1.1</w:t>
      </w:r>
      <w:r w:rsidR="00750353" w:rsidRPr="004E61F5">
        <w:rPr>
          <w:szCs w:val="26"/>
        </w:rPr>
        <w:t xml:space="preserve"> </w:t>
      </w:r>
      <w:r w:rsidR="00270CED" w:rsidRPr="004E61F5">
        <w:rPr>
          <w:szCs w:val="26"/>
        </w:rPr>
        <w:t>установления Правительством Иркутской области систем оплаты труда работников государственных учреждений, обеспечивающих</w:t>
      </w:r>
      <w:r w:rsidR="00722C70" w:rsidRPr="004E61F5">
        <w:rPr>
          <w:szCs w:val="26"/>
        </w:rPr>
        <w:t>:</w:t>
      </w:r>
    </w:p>
    <w:p w:rsidR="00722C70" w:rsidRPr="00722C70" w:rsidRDefault="00722C70" w:rsidP="00C428F7">
      <w:pPr>
        <w:pStyle w:val="a4"/>
        <w:numPr>
          <w:ilvl w:val="2"/>
          <w:numId w:val="3"/>
        </w:numPr>
        <w:tabs>
          <w:tab w:val="left" w:pos="1134"/>
        </w:tabs>
        <w:spacing w:line="240" w:lineRule="auto"/>
        <w:ind w:left="0" w:firstLine="709"/>
        <w:rPr>
          <w:szCs w:val="26"/>
        </w:rPr>
      </w:pPr>
      <w:r w:rsidRPr="00722C70">
        <w:rPr>
          <w:szCs w:val="26"/>
        </w:rPr>
        <w:t>размер тарифной ставки, оклада (должностного оклада), ставки заработной платы работников, имеющих наиболее низкий уровень квалификации, не ниже минимального размера оплаты труда, установленного федеральным законом;</w:t>
      </w:r>
    </w:p>
    <w:p w:rsidR="00722C70" w:rsidRDefault="00270CED" w:rsidP="00C428F7">
      <w:pPr>
        <w:pStyle w:val="a4"/>
        <w:numPr>
          <w:ilvl w:val="2"/>
          <w:numId w:val="3"/>
        </w:numPr>
        <w:tabs>
          <w:tab w:val="left" w:pos="1134"/>
        </w:tabs>
        <w:spacing w:line="240" w:lineRule="auto"/>
        <w:ind w:left="0" w:firstLine="709"/>
        <w:rPr>
          <w:szCs w:val="26"/>
        </w:rPr>
      </w:pPr>
      <w:r w:rsidRPr="00722C70">
        <w:rPr>
          <w:szCs w:val="26"/>
        </w:rPr>
        <w:t xml:space="preserve">  </w:t>
      </w:r>
      <w:r w:rsidR="00722C70">
        <w:rPr>
          <w:szCs w:val="26"/>
        </w:rPr>
        <w:t xml:space="preserve">дифференцированный размер </w:t>
      </w:r>
      <w:bookmarkStart w:id="2" w:name="_Hlk131957169"/>
      <w:r w:rsidR="00722C70">
        <w:rPr>
          <w:szCs w:val="26"/>
        </w:rPr>
        <w:t xml:space="preserve">тарифных ставок, окладов (должностных окладов), ставок заработной платы </w:t>
      </w:r>
      <w:bookmarkEnd w:id="2"/>
      <w:r w:rsidR="00722C70">
        <w:rPr>
          <w:szCs w:val="26"/>
        </w:rPr>
        <w:t>в зависимости от уровня квалификации работников;</w:t>
      </w:r>
    </w:p>
    <w:p w:rsidR="00750353" w:rsidRDefault="00722C70" w:rsidP="00C428F7">
      <w:pPr>
        <w:pStyle w:val="a4"/>
        <w:numPr>
          <w:ilvl w:val="2"/>
          <w:numId w:val="3"/>
        </w:numPr>
        <w:tabs>
          <w:tab w:val="left" w:pos="1134"/>
        </w:tabs>
        <w:spacing w:line="240" w:lineRule="auto"/>
        <w:ind w:left="0" w:firstLine="709"/>
        <w:rPr>
          <w:szCs w:val="26"/>
        </w:rPr>
      </w:pPr>
      <w:r>
        <w:rPr>
          <w:szCs w:val="26"/>
        </w:rPr>
        <w:t>ежегодную индексацию размеров тарифных ставок, окладов (должностных окладов), ставок заработной платы в соответствии с прогнозируемым ростом индекса потребительских цен</w:t>
      </w:r>
      <w:r w:rsidR="00750353">
        <w:rPr>
          <w:szCs w:val="26"/>
        </w:rPr>
        <w:t xml:space="preserve"> </w:t>
      </w:r>
      <w:r w:rsidR="00121D54">
        <w:rPr>
          <w:szCs w:val="26"/>
        </w:rPr>
        <w:t xml:space="preserve">в целом по Российской Федерации, в том числе и в течение 2023 года. </w:t>
      </w:r>
    </w:p>
    <w:p w:rsidR="004E61F5" w:rsidRDefault="004E61F5" w:rsidP="00C428F7">
      <w:pPr>
        <w:pStyle w:val="a4"/>
        <w:numPr>
          <w:ilvl w:val="2"/>
          <w:numId w:val="3"/>
        </w:numPr>
        <w:tabs>
          <w:tab w:val="left" w:pos="1134"/>
        </w:tabs>
        <w:spacing w:line="240" w:lineRule="auto"/>
        <w:ind w:left="0" w:firstLine="709"/>
        <w:rPr>
          <w:szCs w:val="26"/>
        </w:rPr>
      </w:pPr>
      <w:bookmarkStart w:id="3" w:name="_Hlk131960414"/>
      <w:r>
        <w:rPr>
          <w:szCs w:val="26"/>
        </w:rPr>
        <w:t>внесения изменений в Региональное соглашение по регулированию социально-трудовых и связанных с ними экономических отношений на 2021-2023 годы</w:t>
      </w:r>
      <w:bookmarkEnd w:id="3"/>
      <w:r>
        <w:rPr>
          <w:szCs w:val="26"/>
        </w:rPr>
        <w:t xml:space="preserve"> с целью разрешения внесенных в протокол разногласий и </w:t>
      </w:r>
      <w:bookmarkStart w:id="4" w:name="_Hlk131958423"/>
      <w:r>
        <w:rPr>
          <w:szCs w:val="26"/>
        </w:rPr>
        <w:t xml:space="preserve">включения в него обязательств сторон социального партнерства по дополнительной социальной поддержке членов семей работников, участвующих в специальной военной операции. </w:t>
      </w:r>
    </w:p>
    <w:bookmarkEnd w:id="4"/>
    <w:p w:rsidR="00750353" w:rsidRDefault="00750353" w:rsidP="00C428F7">
      <w:pPr>
        <w:pStyle w:val="a4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szCs w:val="26"/>
        </w:rPr>
      </w:pPr>
      <w:r>
        <w:rPr>
          <w:szCs w:val="26"/>
        </w:rPr>
        <w:t xml:space="preserve"> Членским организациям Иркутского Профобъединения:</w:t>
      </w:r>
    </w:p>
    <w:p w:rsidR="00750353" w:rsidRDefault="00750353" w:rsidP="00C428F7">
      <w:pPr>
        <w:pStyle w:val="a4"/>
        <w:tabs>
          <w:tab w:val="left" w:pos="1134"/>
        </w:tabs>
        <w:spacing w:line="240" w:lineRule="auto"/>
        <w:ind w:left="709" w:firstLine="0"/>
        <w:rPr>
          <w:szCs w:val="26"/>
        </w:rPr>
      </w:pPr>
      <w:r>
        <w:rPr>
          <w:szCs w:val="26"/>
        </w:rPr>
        <w:t xml:space="preserve">1.2.1 </w:t>
      </w:r>
      <w:r w:rsidR="00121D54">
        <w:rPr>
          <w:szCs w:val="26"/>
        </w:rPr>
        <w:t xml:space="preserve">добиваться </w:t>
      </w:r>
      <w:r>
        <w:rPr>
          <w:szCs w:val="26"/>
        </w:rPr>
        <w:t xml:space="preserve">установления систем оплаты труда в </w:t>
      </w:r>
      <w:r w:rsidR="004E61F5">
        <w:rPr>
          <w:szCs w:val="26"/>
        </w:rPr>
        <w:t>отраслевых соглашениях</w:t>
      </w:r>
      <w:r>
        <w:rPr>
          <w:szCs w:val="26"/>
        </w:rPr>
        <w:t>;</w:t>
      </w:r>
    </w:p>
    <w:p w:rsidR="004E61F5" w:rsidRDefault="00750353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 w:rsidRPr="00121D54">
        <w:rPr>
          <w:szCs w:val="26"/>
        </w:rPr>
        <w:t xml:space="preserve">1.2.2 </w:t>
      </w:r>
      <w:r w:rsidR="00121D54" w:rsidRPr="00121D54">
        <w:rPr>
          <w:szCs w:val="26"/>
        </w:rPr>
        <w:t>рекомендовать в ходе</w:t>
      </w:r>
      <w:r w:rsidR="004E61F5" w:rsidRPr="00121D54">
        <w:rPr>
          <w:szCs w:val="26"/>
        </w:rPr>
        <w:t xml:space="preserve"> коллективн</w:t>
      </w:r>
      <w:r w:rsidR="00121D54" w:rsidRPr="00121D54">
        <w:rPr>
          <w:szCs w:val="26"/>
        </w:rPr>
        <w:t xml:space="preserve">о-договорной кампании рассмотреть вопрос </w:t>
      </w:r>
      <w:r w:rsidR="007B2E09" w:rsidRPr="00121D54">
        <w:rPr>
          <w:szCs w:val="26"/>
        </w:rPr>
        <w:t>включения</w:t>
      </w:r>
      <w:r w:rsidR="004E61F5" w:rsidRPr="00121D54">
        <w:rPr>
          <w:szCs w:val="26"/>
        </w:rPr>
        <w:t xml:space="preserve"> </w:t>
      </w:r>
      <w:r w:rsidR="00121D54" w:rsidRPr="00121D54">
        <w:rPr>
          <w:szCs w:val="26"/>
        </w:rPr>
        <w:t>в соглашения и коллективные договоры</w:t>
      </w:r>
      <w:r w:rsidR="004E61F5" w:rsidRPr="00121D54">
        <w:rPr>
          <w:szCs w:val="26"/>
        </w:rPr>
        <w:t xml:space="preserve"> обязательств сторон социального партнерства по дополнительной поддержке членов семей работников, участвующих в специальной военной операции.</w:t>
      </w:r>
    </w:p>
    <w:p w:rsidR="00121D54" w:rsidRDefault="004E61F5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 xml:space="preserve">1.3. </w:t>
      </w:r>
      <w:r w:rsidRPr="004E61F5">
        <w:rPr>
          <w:szCs w:val="26"/>
        </w:rPr>
        <w:t xml:space="preserve"> </w:t>
      </w:r>
      <w:r w:rsidR="00121D54">
        <w:rPr>
          <w:szCs w:val="26"/>
        </w:rPr>
        <w:t>Президиуму Иркутского Профобъединения</w:t>
      </w:r>
      <w:r w:rsidR="00795BDF">
        <w:rPr>
          <w:szCs w:val="26"/>
        </w:rPr>
        <w:t xml:space="preserve"> рассмотреть</w:t>
      </w:r>
      <w:r w:rsidR="00121D54">
        <w:rPr>
          <w:szCs w:val="26"/>
        </w:rPr>
        <w:t>:</w:t>
      </w:r>
    </w:p>
    <w:p w:rsidR="00177651" w:rsidRDefault="00177651" w:rsidP="00177651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 xml:space="preserve">1.3.1 вопрос о поддержке </w:t>
      </w:r>
      <w:r w:rsidRPr="00177651">
        <w:rPr>
          <w:szCs w:val="26"/>
        </w:rPr>
        <w:t xml:space="preserve">бойцов, </w:t>
      </w:r>
      <w:r>
        <w:rPr>
          <w:szCs w:val="26"/>
        </w:rPr>
        <w:t>принимающих</w:t>
      </w:r>
      <w:r w:rsidRPr="00177651">
        <w:rPr>
          <w:szCs w:val="26"/>
        </w:rPr>
        <w:t xml:space="preserve"> участие в выполнении задач в ходе специальной военной операции на территории Донецкой Народной Республики, Луганской Народной Республики, За</w:t>
      </w:r>
      <w:r>
        <w:rPr>
          <w:szCs w:val="26"/>
        </w:rPr>
        <w:t xml:space="preserve">порожской и Херсонской областей и в оперативном порядке </w:t>
      </w:r>
      <w:r w:rsidRPr="00177651">
        <w:rPr>
          <w:szCs w:val="26"/>
        </w:rPr>
        <w:t xml:space="preserve">определить и утвердить содержание и порядок проведения акции (срок исполнения – </w:t>
      </w:r>
      <w:r>
        <w:rPr>
          <w:szCs w:val="26"/>
        </w:rPr>
        <w:t>1 июня 2023 г.);</w:t>
      </w:r>
    </w:p>
    <w:p w:rsidR="00121D54" w:rsidRDefault="00177651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 xml:space="preserve">1.3.2 </w:t>
      </w:r>
      <w:r w:rsidR="00795BDF">
        <w:rPr>
          <w:szCs w:val="26"/>
        </w:rPr>
        <w:t xml:space="preserve">вопрос об обращении к Председателю Правительства Российской Федерации М.В. Мишустину о возобновлении программы возврата части оплаты путевки на оздоровление детей (кешбэк). </w:t>
      </w:r>
    </w:p>
    <w:p w:rsidR="007B2E09" w:rsidRDefault="00CD462F" w:rsidP="00C428F7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8"/>
        <w:rPr>
          <w:szCs w:val="26"/>
        </w:rPr>
      </w:pPr>
      <w:r w:rsidRPr="00C428F7">
        <w:rPr>
          <w:szCs w:val="26"/>
        </w:rPr>
        <w:t xml:space="preserve">В сфере охраны </w:t>
      </w:r>
      <w:r w:rsidR="00C428F7" w:rsidRPr="00C428F7">
        <w:rPr>
          <w:szCs w:val="26"/>
        </w:rPr>
        <w:t>труда руководству Иркутского Профобъединения</w:t>
      </w:r>
      <w:r w:rsidR="007B2E09">
        <w:rPr>
          <w:szCs w:val="26"/>
        </w:rPr>
        <w:t>:</w:t>
      </w:r>
    </w:p>
    <w:p w:rsidR="00CD462F" w:rsidRDefault="007B2E09" w:rsidP="007B2E09">
      <w:pPr>
        <w:pStyle w:val="a4"/>
        <w:tabs>
          <w:tab w:val="left" w:pos="1134"/>
        </w:tabs>
        <w:spacing w:line="240" w:lineRule="auto"/>
        <w:ind w:left="0" w:firstLine="708"/>
        <w:rPr>
          <w:szCs w:val="26"/>
        </w:rPr>
      </w:pPr>
      <w:r>
        <w:rPr>
          <w:szCs w:val="26"/>
        </w:rPr>
        <w:t>2.1</w:t>
      </w:r>
      <w:r w:rsidR="00C428F7" w:rsidRPr="00C428F7">
        <w:rPr>
          <w:szCs w:val="26"/>
        </w:rPr>
        <w:t xml:space="preserve"> при проведении переговоров в рамках трехсторонней комиссии Иркутской области по регулированию социально-трудовых отношений инициировать внесение изменений в раздел «Охрана труда» Регионального соглашения по регулированию социально-трудовых и связанных с ними экономических отношений на 2021-2023 годы с целью его актуализации</w:t>
      </w:r>
      <w:r>
        <w:rPr>
          <w:szCs w:val="26"/>
        </w:rPr>
        <w:t>;</w:t>
      </w:r>
    </w:p>
    <w:p w:rsidR="007B2E09" w:rsidRDefault="007D54FA" w:rsidP="007B2E09">
      <w:pPr>
        <w:pStyle w:val="a4"/>
        <w:tabs>
          <w:tab w:val="left" w:pos="1134"/>
        </w:tabs>
        <w:spacing w:line="240" w:lineRule="auto"/>
        <w:ind w:left="0" w:firstLine="708"/>
        <w:rPr>
          <w:szCs w:val="26"/>
        </w:rPr>
      </w:pPr>
      <w:r>
        <w:rPr>
          <w:szCs w:val="26"/>
        </w:rPr>
        <w:t>2.2 организовать</w:t>
      </w:r>
      <w:r w:rsidR="007B2E09">
        <w:rPr>
          <w:szCs w:val="26"/>
        </w:rPr>
        <w:t xml:space="preserve"> работу по заключению</w:t>
      </w:r>
      <w:r>
        <w:rPr>
          <w:szCs w:val="26"/>
        </w:rPr>
        <w:t xml:space="preserve"> и (</w:t>
      </w:r>
      <w:r w:rsidR="007B2E09">
        <w:rPr>
          <w:szCs w:val="26"/>
        </w:rPr>
        <w:t>или</w:t>
      </w:r>
      <w:r>
        <w:rPr>
          <w:szCs w:val="26"/>
        </w:rPr>
        <w:t>)</w:t>
      </w:r>
      <w:r w:rsidR="007B2E09">
        <w:rPr>
          <w:szCs w:val="26"/>
        </w:rPr>
        <w:t xml:space="preserve"> актуализации </w:t>
      </w:r>
      <w:r>
        <w:rPr>
          <w:szCs w:val="26"/>
        </w:rPr>
        <w:t xml:space="preserve">соглашений о взаимодействии с контрольно-надзорными государственными органами, предусмотрев в них порядок привлечение к проведению контрольных (надзорных) мероприятий профсоюзных инспекторов труда. </w:t>
      </w:r>
    </w:p>
    <w:p w:rsidR="00C428F7" w:rsidRDefault="00C428F7" w:rsidP="00C428F7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8"/>
        <w:rPr>
          <w:szCs w:val="26"/>
        </w:rPr>
      </w:pPr>
      <w:r>
        <w:rPr>
          <w:szCs w:val="26"/>
        </w:rPr>
        <w:t>В сфере охраны труда членским организациям:</w:t>
      </w:r>
    </w:p>
    <w:p w:rsidR="00C428F7" w:rsidRDefault="007B2E09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 xml:space="preserve">3.1 </w:t>
      </w:r>
      <w:r w:rsidR="00C428F7">
        <w:rPr>
          <w:szCs w:val="26"/>
        </w:rPr>
        <w:t>добиваться от работодателей</w:t>
      </w:r>
      <w:r>
        <w:rPr>
          <w:szCs w:val="26"/>
        </w:rPr>
        <w:t>:</w:t>
      </w:r>
      <w:r w:rsidR="00C428F7">
        <w:rPr>
          <w:szCs w:val="26"/>
        </w:rPr>
        <w:t xml:space="preserve"> создания условий труда, не носящих вред здоровью; применения </w:t>
      </w:r>
      <w:r>
        <w:rPr>
          <w:szCs w:val="26"/>
        </w:rPr>
        <w:t>методик оценки риска возникновения у работников профессиональных заболеваний, разработанных Роспотребнадзором; организации работы по оздоровлению работников и выявлению первичных признаков заболеваний;</w:t>
      </w:r>
    </w:p>
    <w:p w:rsidR="007B2E09" w:rsidRDefault="007B2E09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>3.2 обеспечить наличие технических инспекторов труда;</w:t>
      </w:r>
    </w:p>
    <w:p w:rsidR="007B2E09" w:rsidRDefault="007B2E09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>3.3 обеспечить обучение технических инспекторов труда не реже одного раза в три года, а также обучение вновь назначенных технических инспекторов труда</w:t>
      </w:r>
      <w:r w:rsidR="007D54FA">
        <w:rPr>
          <w:szCs w:val="26"/>
        </w:rPr>
        <w:t xml:space="preserve"> и уполномоченных (доверенных) лиц по охране труда;</w:t>
      </w:r>
    </w:p>
    <w:p w:rsidR="007B2E09" w:rsidRDefault="007D54FA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  <w:r>
        <w:rPr>
          <w:szCs w:val="26"/>
        </w:rPr>
        <w:t xml:space="preserve">3.4 направлять обращения в органы </w:t>
      </w:r>
      <w:r w:rsidR="00795BDF">
        <w:rPr>
          <w:szCs w:val="26"/>
        </w:rPr>
        <w:t xml:space="preserve">государственного контроля и надзора </w:t>
      </w:r>
      <w:r>
        <w:rPr>
          <w:szCs w:val="26"/>
        </w:rPr>
        <w:t>о нарушении прав работников на безопасный труд в случаях не устранения работодателем (его представителем) указанных в представлениях об устранении нарушений требований трудового законодательства, охраны труда на рабочих местах, условий отраслевых соглашений и коллективных договоров.</w:t>
      </w:r>
    </w:p>
    <w:p w:rsidR="007D54FA" w:rsidRDefault="007D54FA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</w:p>
    <w:p w:rsidR="007D54FA" w:rsidRPr="00C428F7" w:rsidRDefault="007D54FA" w:rsidP="00C428F7">
      <w:pPr>
        <w:pStyle w:val="a4"/>
        <w:tabs>
          <w:tab w:val="left" w:pos="1134"/>
        </w:tabs>
        <w:spacing w:line="240" w:lineRule="auto"/>
        <w:ind w:left="0"/>
        <w:rPr>
          <w:szCs w:val="26"/>
        </w:rPr>
      </w:pPr>
    </w:p>
    <w:p w:rsidR="00C428F7" w:rsidRPr="007D54FA" w:rsidRDefault="007D54FA" w:rsidP="007D54FA">
      <w:pPr>
        <w:tabs>
          <w:tab w:val="left" w:pos="1134"/>
        </w:tabs>
        <w:spacing w:line="240" w:lineRule="auto"/>
        <w:ind w:firstLine="0"/>
        <w:rPr>
          <w:szCs w:val="26"/>
        </w:rPr>
      </w:pPr>
      <w:r>
        <w:rPr>
          <w:szCs w:val="26"/>
        </w:rPr>
        <w:t xml:space="preserve">Председатель       </w:t>
      </w:r>
      <w:r w:rsidR="001B332F">
        <w:rPr>
          <w:szCs w:val="26"/>
          <w:lang w:val="en-US"/>
        </w:rPr>
        <w:t xml:space="preserve">  </w:t>
      </w:r>
      <w:r>
        <w:rPr>
          <w:szCs w:val="26"/>
        </w:rPr>
        <w:t xml:space="preserve">                                                                                                 А.А. Коротких</w:t>
      </w:r>
    </w:p>
    <w:p w:rsidR="00E862EC" w:rsidRPr="00975DBC" w:rsidRDefault="00E862EC" w:rsidP="00C428F7">
      <w:pPr>
        <w:spacing w:line="240" w:lineRule="auto"/>
        <w:ind w:firstLine="0"/>
        <w:jc w:val="both"/>
        <w:rPr>
          <w:szCs w:val="26"/>
        </w:rPr>
      </w:pPr>
    </w:p>
    <w:sectPr w:rsidR="00E862EC" w:rsidRPr="00975DBC" w:rsidSect="001B332F">
      <w:footerReference w:type="default" r:id="rId7"/>
      <w:pgSz w:w="12240" w:h="15840" w:code="1"/>
      <w:pgMar w:top="709" w:right="758" w:bottom="56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66" w:rsidRDefault="006B1B66" w:rsidP="00371EB7">
      <w:pPr>
        <w:spacing w:line="240" w:lineRule="auto"/>
      </w:pPr>
      <w:r>
        <w:separator/>
      </w:r>
    </w:p>
  </w:endnote>
  <w:endnote w:type="continuationSeparator" w:id="0">
    <w:p w:rsidR="006B1B66" w:rsidRDefault="006B1B66" w:rsidP="00371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6925"/>
      <w:docPartObj>
        <w:docPartGallery w:val="Page Numbers (Bottom of Page)"/>
        <w:docPartUnique/>
      </w:docPartObj>
    </w:sdtPr>
    <w:sdtEndPr/>
    <w:sdtContent>
      <w:p w:rsidR="00371EB7" w:rsidRDefault="00371EB7">
        <w:pPr>
          <w:pStyle w:val="a7"/>
          <w:jc w:val="right"/>
        </w:pPr>
        <w:r w:rsidRPr="00371EB7">
          <w:rPr>
            <w:sz w:val="22"/>
          </w:rPr>
          <w:fldChar w:fldCharType="begin"/>
        </w:r>
        <w:r w:rsidRPr="00371EB7">
          <w:rPr>
            <w:sz w:val="22"/>
          </w:rPr>
          <w:instrText>PAGE   \* MERGEFORMAT</w:instrText>
        </w:r>
        <w:r w:rsidRPr="00371EB7">
          <w:rPr>
            <w:sz w:val="22"/>
          </w:rPr>
          <w:fldChar w:fldCharType="separate"/>
        </w:r>
        <w:r w:rsidR="001B332F">
          <w:rPr>
            <w:noProof/>
            <w:sz w:val="22"/>
          </w:rPr>
          <w:t>2</w:t>
        </w:r>
        <w:r w:rsidRPr="00371EB7">
          <w:rPr>
            <w:sz w:val="22"/>
          </w:rPr>
          <w:fldChar w:fldCharType="end"/>
        </w:r>
      </w:p>
    </w:sdtContent>
  </w:sdt>
  <w:p w:rsidR="00371EB7" w:rsidRDefault="00371E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66" w:rsidRDefault="006B1B66" w:rsidP="00371EB7">
      <w:pPr>
        <w:spacing w:line="240" w:lineRule="auto"/>
      </w:pPr>
      <w:r>
        <w:separator/>
      </w:r>
    </w:p>
  </w:footnote>
  <w:footnote w:type="continuationSeparator" w:id="0">
    <w:p w:rsidR="006B1B66" w:rsidRDefault="006B1B66" w:rsidP="00371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114"/>
    <w:multiLevelType w:val="multilevel"/>
    <w:tmpl w:val="DB0CF6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CFD1EAE"/>
    <w:multiLevelType w:val="hybridMultilevel"/>
    <w:tmpl w:val="40E4C2DC"/>
    <w:lvl w:ilvl="0" w:tplc="27E618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ED7855"/>
    <w:multiLevelType w:val="multilevel"/>
    <w:tmpl w:val="EE1412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6DBE52FF"/>
    <w:multiLevelType w:val="multilevel"/>
    <w:tmpl w:val="FFE0E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BC"/>
    <w:rsid w:val="000C21E7"/>
    <w:rsid w:val="00121D54"/>
    <w:rsid w:val="00177651"/>
    <w:rsid w:val="0018610A"/>
    <w:rsid w:val="001B332F"/>
    <w:rsid w:val="001F60DB"/>
    <w:rsid w:val="002504EA"/>
    <w:rsid w:val="00270CED"/>
    <w:rsid w:val="002A49C4"/>
    <w:rsid w:val="002E0C25"/>
    <w:rsid w:val="00327B36"/>
    <w:rsid w:val="00344ED5"/>
    <w:rsid w:val="003521B2"/>
    <w:rsid w:val="00371EB7"/>
    <w:rsid w:val="00402016"/>
    <w:rsid w:val="004E61F5"/>
    <w:rsid w:val="004F049A"/>
    <w:rsid w:val="00547FC2"/>
    <w:rsid w:val="00565D4D"/>
    <w:rsid w:val="005F37DA"/>
    <w:rsid w:val="00625E70"/>
    <w:rsid w:val="00685A7F"/>
    <w:rsid w:val="006B1B66"/>
    <w:rsid w:val="00722C70"/>
    <w:rsid w:val="00750353"/>
    <w:rsid w:val="0076534E"/>
    <w:rsid w:val="00782C72"/>
    <w:rsid w:val="00795BDF"/>
    <w:rsid w:val="007B2E09"/>
    <w:rsid w:val="007D54FA"/>
    <w:rsid w:val="00975DBC"/>
    <w:rsid w:val="009B5514"/>
    <w:rsid w:val="00A65018"/>
    <w:rsid w:val="00B644C6"/>
    <w:rsid w:val="00BA26D5"/>
    <w:rsid w:val="00C01809"/>
    <w:rsid w:val="00C428F7"/>
    <w:rsid w:val="00CD1CE4"/>
    <w:rsid w:val="00CD462F"/>
    <w:rsid w:val="00D01BF9"/>
    <w:rsid w:val="00D5440C"/>
    <w:rsid w:val="00D92919"/>
    <w:rsid w:val="00E5087B"/>
    <w:rsid w:val="00E862EC"/>
    <w:rsid w:val="00EE3126"/>
    <w:rsid w:val="00F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83D3"/>
  <w15:chartTrackingRefBased/>
  <w15:docId w15:val="{DD46BA99-5AA0-446E-ACC0-57998FD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D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016"/>
    <w:pPr>
      <w:spacing w:line="276" w:lineRule="auto"/>
      <w:ind w:left="720"/>
      <w:contextualSpacing/>
      <w:jc w:val="both"/>
    </w:pPr>
  </w:style>
  <w:style w:type="paragraph" w:styleId="a5">
    <w:name w:val="header"/>
    <w:basedOn w:val="a"/>
    <w:link w:val="a6"/>
    <w:uiPriority w:val="99"/>
    <w:unhideWhenUsed/>
    <w:rsid w:val="00371EB7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EB7"/>
  </w:style>
  <w:style w:type="paragraph" w:styleId="a7">
    <w:name w:val="footer"/>
    <w:basedOn w:val="a"/>
    <w:link w:val="a8"/>
    <w:uiPriority w:val="99"/>
    <w:unhideWhenUsed/>
    <w:rsid w:val="00371EB7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Chistyakova</dc:creator>
  <cp:keywords/>
  <dc:description/>
  <cp:lastModifiedBy>Kondr</cp:lastModifiedBy>
  <cp:revision>2</cp:revision>
  <dcterms:created xsi:type="dcterms:W3CDTF">2023-04-24T07:51:00Z</dcterms:created>
  <dcterms:modified xsi:type="dcterms:W3CDTF">2023-04-24T07:51:00Z</dcterms:modified>
</cp:coreProperties>
</file>